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Arka</w:t>
      </w:r>
      <w:r>
        <w:rPr>
          <w:spacing w:val="-4"/>
        </w:rPr>
        <w:t> </w:t>
      </w:r>
      <w:r>
        <w:rPr/>
        <w:t>Credit</w:t>
      </w:r>
      <w:r>
        <w:rPr>
          <w:spacing w:val="-2"/>
        </w:rPr>
        <w:t> </w:t>
      </w:r>
      <w:r>
        <w:rPr/>
        <w:t>Fund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makes</w:t>
      </w:r>
      <w:r>
        <w:rPr>
          <w:spacing w:val="-4"/>
        </w:rPr>
        <w:t> </w:t>
      </w:r>
      <w:r>
        <w:rPr/>
        <w:t>NCD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Everest</w:t>
      </w:r>
      <w:r>
        <w:rPr>
          <w:spacing w:val="-3"/>
        </w:rPr>
        <w:t> </w:t>
      </w:r>
      <w:r>
        <w:rPr/>
        <w:t>Fleet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360" w:lineRule="auto" w:before="1"/>
        <w:ind w:left="113" w:right="105"/>
        <w:jc w:val="both"/>
      </w:pPr>
      <w:r>
        <w:rPr>
          <w:b/>
        </w:rPr>
        <w:t>Mumbai, 10</w:t>
      </w:r>
      <w:r>
        <w:rPr>
          <w:b/>
          <w:vertAlign w:val="superscript"/>
        </w:rPr>
        <w:t>th</w:t>
      </w:r>
      <w:r>
        <w:rPr>
          <w:b/>
          <w:vertAlign w:val="baseline"/>
        </w:rPr>
        <w:t> August 2023</w:t>
      </w:r>
      <w:r>
        <w:rPr>
          <w:vertAlign w:val="baseline"/>
        </w:rPr>
        <w:t>: Arka Credit Fund I (ACF I), a Category II Alternative Investment Fund (AIF),</w:t>
      </w:r>
      <w:r>
        <w:rPr>
          <w:spacing w:val="1"/>
          <w:vertAlign w:val="baseline"/>
        </w:rPr>
        <w:t> </w:t>
      </w:r>
      <w:r>
        <w:rPr>
          <w:vertAlign w:val="baseline"/>
        </w:rPr>
        <w:t>has invested in the Non-Convertible Debentures (NCDs) of Everest Fleet, India’s largest fleet supplier.</w:t>
      </w:r>
      <w:r>
        <w:rPr>
          <w:spacing w:val="1"/>
          <w:vertAlign w:val="baseline"/>
        </w:rPr>
        <w:t> </w:t>
      </w:r>
      <w:r>
        <w:rPr>
          <w:vertAlign w:val="baseline"/>
        </w:rPr>
        <w:t>Everest Fleet operates in the shared mobility space in India and is an existing partner to 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ridesharing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3"/>
          <w:vertAlign w:val="baseline"/>
        </w:rPr>
        <w:t> </w:t>
      </w:r>
      <w:r>
        <w:rPr>
          <w:vertAlign w:val="baseline"/>
        </w:rPr>
        <w:t>like Uber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Ola.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5"/>
          <w:vertAlign w:val="baseline"/>
        </w:rPr>
        <w:t> </w:t>
      </w:r>
      <w:r>
        <w:rPr>
          <w:vertAlign w:val="baseline"/>
        </w:rPr>
        <w:t>plans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invest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funds</w:t>
      </w:r>
      <w:r>
        <w:rPr>
          <w:spacing w:val="-4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aim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3"/>
          <w:vertAlign w:val="baseline"/>
        </w:rPr>
        <w:t> </w:t>
      </w:r>
      <w:r>
        <w:rPr>
          <w:vertAlign w:val="baseline"/>
        </w:rPr>
        <w:t>fleet</w:t>
      </w:r>
      <w:r>
        <w:rPr>
          <w:spacing w:val="-52"/>
          <w:vertAlign w:val="baseline"/>
        </w:rPr>
        <w:t> </w:t>
      </w:r>
      <w:r>
        <w:rPr>
          <w:vertAlign w:val="baseline"/>
        </w:rPr>
        <w:t>portfolio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17000+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March</w:t>
      </w:r>
      <w:r>
        <w:rPr>
          <w:spacing w:val="-3"/>
          <w:vertAlign w:val="baseline"/>
        </w:rPr>
        <w:t> </w:t>
      </w:r>
      <w:r>
        <w:rPr>
          <w:vertAlign w:val="baseline"/>
        </w:rPr>
        <w:t>2024.</w:t>
      </w:r>
      <w:r>
        <w:rPr>
          <w:spacing w:val="1"/>
          <w:vertAlign w:val="baseline"/>
        </w:rPr>
        <w:t> </w:t>
      </w:r>
      <w:r>
        <w:rPr>
          <w:vertAlign w:val="baseline"/>
        </w:rPr>
        <w:t>ACF</w:t>
      </w:r>
      <w:r>
        <w:rPr>
          <w:spacing w:val="-4"/>
          <w:vertAlign w:val="baseline"/>
        </w:rPr>
        <w:t> </w:t>
      </w:r>
      <w:r>
        <w:rPr>
          <w:vertAlign w:val="baseline"/>
        </w:rPr>
        <w:t>I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scheme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4"/>
          <w:vertAlign w:val="baseline"/>
        </w:rPr>
        <w:t> </w:t>
      </w:r>
      <w:r>
        <w:rPr>
          <w:vertAlign w:val="baseline"/>
        </w:rPr>
        <w:t>maiden</w:t>
      </w:r>
      <w:r>
        <w:rPr>
          <w:spacing w:val="-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-4"/>
          <w:vertAlign w:val="baseline"/>
        </w:rPr>
        <w:t> </w:t>
      </w:r>
      <w:r>
        <w:rPr>
          <w:vertAlign w:val="baseline"/>
        </w:rPr>
        <w:t>fund,</w:t>
      </w:r>
      <w:r>
        <w:rPr>
          <w:spacing w:val="-6"/>
          <w:vertAlign w:val="baseline"/>
        </w:rPr>
        <w:t> </w:t>
      </w:r>
      <w:r>
        <w:rPr>
          <w:vertAlign w:val="baseline"/>
        </w:rPr>
        <w:t>Arka</w:t>
      </w:r>
      <w:r>
        <w:rPr>
          <w:spacing w:val="-3"/>
          <w:vertAlign w:val="baseline"/>
        </w:rPr>
        <w:t> </w:t>
      </w:r>
      <w:r>
        <w:rPr>
          <w:vertAlign w:val="baseline"/>
        </w:rPr>
        <w:t>Credit</w:t>
      </w:r>
      <w:r>
        <w:rPr>
          <w:spacing w:val="-3"/>
          <w:vertAlign w:val="baseline"/>
        </w:rPr>
        <w:t> </w:t>
      </w:r>
      <w:r>
        <w:rPr>
          <w:vertAlign w:val="baseline"/>
        </w:rPr>
        <w:t>Fund,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Arka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2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1"/>
          <w:vertAlign w:val="baseline"/>
        </w:rPr>
        <w:t> </w:t>
      </w:r>
      <w:r>
        <w:rPr>
          <w:vertAlign w:val="baseline"/>
        </w:rPr>
        <w:t>(AIASPL).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60" w:lineRule="auto" w:before="1"/>
        <w:ind w:left="113" w:right="108"/>
        <w:jc w:val="both"/>
      </w:pPr>
      <w:r>
        <w:rPr>
          <w:b/>
        </w:rPr>
        <w:t>Sonit</w:t>
      </w:r>
      <w:r>
        <w:rPr>
          <w:b/>
          <w:spacing w:val="-4"/>
        </w:rPr>
        <w:t> </w:t>
      </w:r>
      <w:r>
        <w:rPr>
          <w:b/>
        </w:rPr>
        <w:t>Singh,</w:t>
      </w:r>
      <w:r>
        <w:rPr>
          <w:b/>
          <w:spacing w:val="-2"/>
        </w:rPr>
        <w:t> </w:t>
      </w:r>
      <w:r>
        <w:rPr>
          <w:b/>
        </w:rPr>
        <w:t>Director,</w:t>
      </w:r>
      <w:r>
        <w:rPr>
          <w:b/>
          <w:spacing w:val="-5"/>
        </w:rPr>
        <w:t> </w:t>
      </w:r>
      <w:r>
        <w:rPr>
          <w:b/>
        </w:rPr>
        <w:t>AIASPL</w:t>
      </w:r>
      <w:r>
        <w:rPr/>
        <w:t>,</w:t>
      </w:r>
      <w:r>
        <w:rPr>
          <w:spacing w:val="-2"/>
        </w:rPr>
        <w:t> </w:t>
      </w:r>
      <w:r>
        <w:rPr/>
        <w:t>commented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deal,</w:t>
      </w:r>
      <w:r>
        <w:rPr>
          <w:spacing w:val="-4"/>
        </w:rPr>
        <w:t> </w:t>
      </w:r>
      <w:r>
        <w:rPr/>
        <w:t>“The</w:t>
      </w:r>
      <w:r>
        <w:rPr>
          <w:spacing w:val="-5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Everest</w:t>
      </w:r>
      <w:r>
        <w:rPr>
          <w:spacing w:val="-4"/>
        </w:rPr>
        <w:t> </w:t>
      </w:r>
      <w:r>
        <w:rPr/>
        <w:t>Fleet</w:t>
      </w:r>
      <w:r>
        <w:rPr>
          <w:spacing w:val="-4"/>
        </w:rPr>
        <w:t> </w:t>
      </w:r>
      <w:r>
        <w:rPr/>
        <w:t>aligns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our</w:t>
      </w:r>
      <w:r>
        <w:rPr>
          <w:spacing w:val="-52"/>
        </w:rPr>
        <w:t> </w:t>
      </w:r>
      <w:r>
        <w:rPr/>
        <w:t>investment philosophy of partnering with credible mid-market players, by providing them access to</w:t>
      </w:r>
      <w:r>
        <w:rPr>
          <w:spacing w:val="1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capital in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overall</w:t>
      </w:r>
      <w:r>
        <w:rPr>
          <w:spacing w:val="-2"/>
        </w:rPr>
        <w:t> </w:t>
      </w:r>
      <w:r>
        <w:rPr/>
        <w:t>growth</w:t>
      </w:r>
      <w:r>
        <w:rPr>
          <w:spacing w:val="-1"/>
        </w:rPr>
        <w:t> </w:t>
      </w:r>
      <w:r>
        <w:rPr/>
        <w:t>journey.”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 w:before="1"/>
        <w:ind w:left="113" w:right="105"/>
        <w:jc w:val="both"/>
      </w:pPr>
      <w:r>
        <w:rPr>
          <w:b/>
        </w:rPr>
        <w:t>Siddharth Ladsariya, Cofounder, Everest Fleet, </w:t>
      </w:r>
      <w:r>
        <w:rPr/>
        <w:t>said, “The confidence of Arka Credit Fund I in us by way</w:t>
      </w:r>
      <w:r>
        <w:rPr>
          <w:spacing w:val="-52"/>
        </w:rPr>
        <w:t> </w:t>
      </w:r>
      <w:r>
        <w:rPr/>
        <w:t>of this funding only motivates us to stand tall on our mission. It will help us to ease the daily commute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enhance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experience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/>
        <w:t>riding</w:t>
      </w:r>
      <w:r>
        <w:rPr>
          <w:spacing w:val="-16"/>
        </w:rPr>
        <w:t> </w:t>
      </w:r>
      <w:r>
        <w:rPr/>
        <w:t>by</w:t>
      </w:r>
      <w:r>
        <w:rPr>
          <w:spacing w:val="-14"/>
        </w:rPr>
        <w:t> </w:t>
      </w:r>
      <w:r>
        <w:rPr/>
        <w:t>ensuring</w:t>
      </w:r>
      <w:r>
        <w:rPr>
          <w:spacing w:val="-16"/>
        </w:rPr>
        <w:t> </w:t>
      </w:r>
      <w:r>
        <w:rPr/>
        <w:t>efficiency</w:t>
      </w:r>
      <w:r>
        <w:rPr>
          <w:spacing w:val="-14"/>
        </w:rPr>
        <w:t> </w:t>
      </w:r>
      <w:r>
        <w:rPr/>
        <w:t>across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channels</w:t>
      </w:r>
      <w:r>
        <w:rPr>
          <w:spacing w:val="-16"/>
        </w:rPr>
        <w:t> </w:t>
      </w:r>
      <w:r>
        <w:rPr/>
        <w:t>thus</w:t>
      </w:r>
      <w:r>
        <w:rPr>
          <w:spacing w:val="-17"/>
        </w:rPr>
        <w:t> </w:t>
      </w:r>
      <w:r>
        <w:rPr/>
        <w:t>positively</w:t>
      </w:r>
      <w:r>
        <w:rPr>
          <w:spacing w:val="-14"/>
        </w:rPr>
        <w:t> </w:t>
      </w:r>
      <w:r>
        <w:rPr/>
        <w:t>impacting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lives of</w:t>
      </w:r>
      <w:r>
        <w:rPr>
          <w:spacing w:val="-1"/>
        </w:rPr>
        <w:t> </w:t>
      </w:r>
      <w:r>
        <w:rPr/>
        <w:t>drivers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commuters.”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60" w:lineRule="auto"/>
        <w:ind w:left="113" w:right="106"/>
        <w:jc w:val="both"/>
      </w:pPr>
      <w:r>
        <w:rPr/>
        <w:t>Launched in October 2022, Arka Credit Fund I is diversified, sector-agnostic, mid-market focussed with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7"/>
        </w:rPr>
        <w:t> </w:t>
      </w:r>
      <w:r>
        <w:rPr/>
        <w:t>investments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debt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middle-market</w:t>
      </w:r>
      <w:r>
        <w:rPr>
          <w:spacing w:val="-5"/>
        </w:rPr>
        <w:t> </w:t>
      </w:r>
      <w:r>
        <w:rPr/>
        <w:t>companies.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Fund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performing</w:t>
      </w:r>
      <w:r>
        <w:rPr>
          <w:spacing w:val="-7"/>
        </w:rPr>
        <w:t> </w:t>
      </w:r>
      <w:r>
        <w:rPr/>
        <w:t>credit</w:t>
      </w:r>
      <w:r>
        <w:rPr>
          <w:spacing w:val="-51"/>
        </w:rPr>
        <w:t> </w:t>
      </w:r>
      <w:r>
        <w:rPr/>
        <w:t>fund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promoter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demonstrated</w:t>
      </w:r>
      <w:r>
        <w:rPr>
          <w:spacing w:val="-9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track</w:t>
      </w:r>
      <w:r>
        <w:rPr>
          <w:spacing w:val="-9"/>
        </w:rPr>
        <w:t> </w:t>
      </w:r>
      <w:r>
        <w:rPr/>
        <w:t>record.</w:t>
      </w:r>
      <w:r>
        <w:rPr>
          <w:spacing w:val="-9"/>
        </w:rPr>
        <w:t> </w:t>
      </w:r>
      <w:r>
        <w:rPr/>
        <w:t>Headquartered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Mumbai,</w:t>
      </w:r>
      <w:r>
        <w:rPr>
          <w:spacing w:val="-11"/>
        </w:rPr>
        <w:t> </w:t>
      </w:r>
      <w:r>
        <w:rPr/>
        <w:t>Everest</w:t>
      </w:r>
      <w:r>
        <w:rPr>
          <w:spacing w:val="-6"/>
        </w:rPr>
        <w:t> </w:t>
      </w:r>
      <w:r>
        <w:rPr/>
        <w:t>Fleet</w:t>
      </w:r>
      <w:r>
        <w:rPr>
          <w:spacing w:val="-8"/>
        </w:rPr>
        <w:t> </w:t>
      </w:r>
      <w:r>
        <w:rPr/>
        <w:t>was</w:t>
      </w:r>
      <w:r>
        <w:rPr>
          <w:spacing w:val="-11"/>
        </w:rPr>
        <w:t> </w:t>
      </w:r>
      <w:r>
        <w:rPr/>
        <w:t>founded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2016</w:t>
      </w:r>
      <w:r>
        <w:rPr>
          <w:spacing w:val="-52"/>
        </w:rPr>
        <w:t> </w:t>
      </w:r>
      <w:r>
        <w:rPr/>
        <w:t>and</w:t>
      </w:r>
      <w:r>
        <w:rPr>
          <w:spacing w:val="-10"/>
        </w:rPr>
        <w:t> </w:t>
      </w:r>
      <w:r>
        <w:rPr/>
        <w:t>has</w:t>
      </w:r>
      <w:r>
        <w:rPr>
          <w:spacing w:val="-8"/>
        </w:rPr>
        <w:t> </w:t>
      </w:r>
      <w:r>
        <w:rPr/>
        <w:t>rapidly</w:t>
      </w:r>
      <w:r>
        <w:rPr>
          <w:spacing w:val="-9"/>
        </w:rPr>
        <w:t> </w:t>
      </w:r>
      <w:r>
        <w:rPr/>
        <w:t>scaled</w:t>
      </w:r>
      <w:r>
        <w:rPr>
          <w:spacing w:val="-7"/>
        </w:rPr>
        <w:t> </w:t>
      </w:r>
      <w:r>
        <w:rPr/>
        <w:t>its</w:t>
      </w:r>
      <w:r>
        <w:rPr>
          <w:spacing w:val="-11"/>
        </w:rPr>
        <w:t> </w:t>
      </w:r>
      <w:r>
        <w:rPr/>
        <w:t>operations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just</w:t>
      </w:r>
      <w:r>
        <w:rPr>
          <w:spacing w:val="-7"/>
        </w:rPr>
        <w:t> </w:t>
      </w:r>
      <w:r>
        <w:rPr/>
        <w:t>2</w:t>
      </w:r>
      <w:r>
        <w:rPr>
          <w:spacing w:val="-8"/>
        </w:rPr>
        <w:t> </w:t>
      </w:r>
      <w:r>
        <w:rPr/>
        <w:t>cars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over</w:t>
      </w:r>
      <w:r>
        <w:rPr>
          <w:spacing w:val="-7"/>
        </w:rPr>
        <w:t> </w:t>
      </w:r>
      <w:r>
        <w:rPr/>
        <w:t>10,000+</w:t>
      </w:r>
      <w:r>
        <w:rPr>
          <w:spacing w:val="-10"/>
        </w:rPr>
        <w:t> </w:t>
      </w:r>
      <w:r>
        <w:rPr/>
        <w:t>cars,</w:t>
      </w:r>
      <w:r>
        <w:rPr>
          <w:spacing w:val="-8"/>
        </w:rPr>
        <w:t> </w:t>
      </w:r>
      <w:r>
        <w:rPr/>
        <w:t>achieving</w:t>
      </w:r>
      <w:r>
        <w:rPr>
          <w:spacing w:val="-9"/>
        </w:rPr>
        <w:t> </w:t>
      </w:r>
      <w:r>
        <w:rPr/>
        <w:t>industry-leading</w:t>
      </w:r>
      <w:r>
        <w:rPr>
          <w:spacing w:val="-10"/>
        </w:rPr>
        <w:t> </w:t>
      </w:r>
      <w:r>
        <w:rPr/>
        <w:t>car</w:t>
      </w:r>
      <w:r>
        <w:rPr>
          <w:spacing w:val="-52"/>
        </w:rPr>
        <w:t> </w:t>
      </w:r>
      <w:r>
        <w:rPr/>
        <w:t>utilisation levels. With its strong presence in seven metro cities in India, Everest Fleet has established</w:t>
      </w:r>
      <w:r>
        <w:rPr>
          <w:spacing w:val="1"/>
        </w:rPr>
        <w:t> </w:t>
      </w:r>
      <w:r>
        <w:rPr/>
        <w:t>itself</w:t>
      </w:r>
      <w:r>
        <w:rPr>
          <w:spacing w:val="-2"/>
        </w:rPr>
        <w:t> </w:t>
      </w:r>
      <w:r>
        <w:rPr/>
        <w:t>as a</w:t>
      </w:r>
      <w:r>
        <w:rPr>
          <w:spacing w:val="-2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fleet</w:t>
      </w:r>
      <w:r>
        <w:rPr>
          <w:spacing w:val="-1"/>
        </w:rPr>
        <w:t> </w:t>
      </w:r>
      <w:r>
        <w:rPr/>
        <w:t>operator.</w:t>
      </w:r>
    </w:p>
    <w:p>
      <w:pPr>
        <w:spacing w:after="0" w:line="360" w:lineRule="auto"/>
        <w:jc w:val="both"/>
        <w:sectPr>
          <w:headerReference w:type="default" r:id="rId5"/>
          <w:type w:val="continuous"/>
          <w:pgSz w:w="11910" w:h="16840"/>
          <w:pgMar w:header="471" w:top="1640" w:bottom="280" w:left="880" w:right="7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3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About Arka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Credit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Fund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I:</w:t>
      </w:r>
    </w:p>
    <w:p>
      <w:pPr>
        <w:spacing w:line="360" w:lineRule="auto" w:before="135"/>
        <w:ind w:left="113" w:right="105" w:firstLine="0"/>
        <w:jc w:val="both"/>
        <w:rPr>
          <w:sz w:val="22"/>
        </w:rPr>
      </w:pPr>
      <w:r>
        <w:rPr>
          <w:sz w:val="22"/>
        </w:rPr>
        <w:t>Arka Credit Fund is a diversified, secure, mid-market focussed Category II AIF registered with SEBI. The Fund is</w:t>
      </w:r>
      <w:r>
        <w:rPr>
          <w:spacing w:val="1"/>
          <w:sz w:val="22"/>
        </w:rPr>
        <w:t> </w:t>
      </w:r>
      <w:r>
        <w:rPr>
          <w:sz w:val="22"/>
        </w:rPr>
        <w:t>sponsored by Arka Financial Holdings Private Ltd. which is a subsidiary of Kirloskar Oil Engines Ltd. and managed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Arka Investment Advisory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Private</w:t>
      </w:r>
      <w:r>
        <w:rPr>
          <w:spacing w:val="1"/>
          <w:sz w:val="22"/>
        </w:rPr>
        <w:t> </w:t>
      </w:r>
      <w:r>
        <w:rPr>
          <w:sz w:val="22"/>
        </w:rPr>
        <w:t>Limited.</w:t>
      </w:r>
    </w:p>
    <w:p>
      <w:pPr>
        <w:pStyle w:val="BodyText"/>
        <w:spacing w:before="6"/>
        <w:rPr>
          <w:sz w:val="19"/>
        </w:rPr>
      </w:pPr>
    </w:p>
    <w:p>
      <w:pPr>
        <w:spacing w:line="360" w:lineRule="auto" w:before="1"/>
        <w:ind w:left="113" w:right="105" w:firstLine="0"/>
        <w:jc w:val="both"/>
        <w:rPr>
          <w:sz w:val="22"/>
        </w:rPr>
      </w:pPr>
      <w:r>
        <w:rPr>
          <w:sz w:val="22"/>
        </w:rPr>
        <w:t>The target corpus of the Fund is INR 250 Cr with a green shoe option of INR 50 Cr. It focuses on value creation by</w:t>
      </w:r>
      <w:r>
        <w:rPr>
          <w:spacing w:val="-47"/>
          <w:sz w:val="22"/>
        </w:rPr>
        <w:t> </w:t>
      </w:r>
      <w:r>
        <w:rPr>
          <w:sz w:val="22"/>
        </w:rPr>
        <w:t>identifying investment opportunities typically in mid-market segments across diversified sectors, which have</w:t>
      </w:r>
      <w:r>
        <w:rPr>
          <w:spacing w:val="1"/>
          <w:sz w:val="22"/>
        </w:rPr>
        <w:t> </w:t>
      </w:r>
      <w:r>
        <w:rPr>
          <w:sz w:val="22"/>
        </w:rPr>
        <w:t>established      </w:t>
      </w:r>
      <w:r>
        <w:rPr>
          <w:spacing w:val="1"/>
          <w:sz w:val="22"/>
        </w:rPr>
        <w:t> </w:t>
      </w:r>
      <w:r>
        <w:rPr>
          <w:sz w:val="22"/>
        </w:rPr>
        <w:t>track        record        and        provide        equilibrium        between        risk        and        returns.</w:t>
      </w:r>
      <w:r>
        <w:rPr>
          <w:spacing w:val="1"/>
          <w:sz w:val="22"/>
        </w:rPr>
        <w:t> </w:t>
      </w:r>
      <w:r>
        <w:rPr>
          <w:sz w:val="22"/>
        </w:rPr>
        <w:t>The Fund has robust governance and advisory due to the delineated transaction process, with a cumulative</w:t>
      </w:r>
      <w:r>
        <w:rPr>
          <w:spacing w:val="1"/>
          <w:sz w:val="22"/>
        </w:rPr>
        <w:t> </w:t>
      </w:r>
      <w:r>
        <w:rPr>
          <w:sz w:val="22"/>
        </w:rPr>
        <w:t>experience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75+</w:t>
      </w:r>
      <w:r>
        <w:rPr>
          <w:spacing w:val="-2"/>
          <w:sz w:val="22"/>
        </w:rPr>
        <w:t> </w:t>
      </w:r>
      <w:r>
        <w:rPr>
          <w:sz w:val="22"/>
        </w:rPr>
        <w:t>years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financial</w:t>
      </w:r>
      <w:r>
        <w:rPr>
          <w:spacing w:val="-1"/>
          <w:sz w:val="22"/>
        </w:rPr>
        <w:t> </w:t>
      </w:r>
      <w:r>
        <w:rPr>
          <w:sz w:val="22"/>
        </w:rPr>
        <w:t>services industry. https://arkaadvisory.in/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0"/>
        <w:ind w:left="113" w:right="0" w:firstLine="0"/>
        <w:jc w:val="both"/>
        <w:rPr>
          <w:sz w:val="22"/>
        </w:rPr>
      </w:pPr>
      <w:r>
        <w:rPr>
          <w:b/>
          <w:sz w:val="22"/>
          <w:u w:val="single"/>
        </w:rPr>
        <w:t>About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Everest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Fleet</w:t>
      </w:r>
      <w:r>
        <w:rPr>
          <w:sz w:val="22"/>
          <w:u w:val="single"/>
        </w:rPr>
        <w:t>:</w:t>
      </w:r>
    </w:p>
    <w:p>
      <w:pPr>
        <w:pStyle w:val="BodyText"/>
        <w:spacing w:before="11"/>
        <w:rPr>
          <w:sz w:val="25"/>
        </w:rPr>
      </w:pPr>
    </w:p>
    <w:p>
      <w:pPr>
        <w:spacing w:line="360" w:lineRule="auto" w:before="56"/>
        <w:ind w:left="113" w:right="106" w:firstLine="0"/>
        <w:jc w:val="both"/>
        <w:rPr>
          <w:sz w:val="22"/>
        </w:rPr>
      </w:pPr>
      <w:r>
        <w:rPr>
          <w:sz w:val="22"/>
        </w:rPr>
        <w:t>Everest Fleet Pvt Ltd, founded in October 2016, is a leading fleet management company with a strong presence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market.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short</w:t>
      </w:r>
      <w:r>
        <w:rPr>
          <w:spacing w:val="-9"/>
          <w:sz w:val="22"/>
        </w:rPr>
        <w:t> </w:t>
      </w:r>
      <w:r>
        <w:rPr>
          <w:sz w:val="22"/>
        </w:rPr>
        <w:t>time,</w:t>
      </w:r>
      <w:r>
        <w:rPr>
          <w:spacing w:val="-10"/>
          <w:sz w:val="22"/>
        </w:rPr>
        <w:t> </w:t>
      </w:r>
      <w:r>
        <w:rPr>
          <w:sz w:val="22"/>
        </w:rPr>
        <w:t>it</w:t>
      </w:r>
      <w:r>
        <w:rPr>
          <w:spacing w:val="-10"/>
          <w:sz w:val="22"/>
        </w:rPr>
        <w:t> </w:t>
      </w:r>
      <w:r>
        <w:rPr>
          <w:sz w:val="22"/>
        </w:rPr>
        <w:t>has</w:t>
      </w:r>
      <w:r>
        <w:rPr>
          <w:spacing w:val="-11"/>
          <w:sz w:val="22"/>
        </w:rPr>
        <w:t> </w:t>
      </w:r>
      <w:r>
        <w:rPr>
          <w:sz w:val="22"/>
        </w:rPr>
        <w:t>grown</w:t>
      </w:r>
      <w:r>
        <w:rPr>
          <w:spacing w:val="-11"/>
          <w:sz w:val="22"/>
        </w:rPr>
        <w:t> </w:t>
      </w:r>
      <w:r>
        <w:rPr>
          <w:sz w:val="22"/>
        </w:rPr>
        <w:t>into</w:t>
      </w:r>
      <w:r>
        <w:rPr>
          <w:spacing w:val="-10"/>
          <w:sz w:val="22"/>
        </w:rPr>
        <w:t> </w:t>
      </w:r>
      <w:r>
        <w:rPr>
          <w:sz w:val="22"/>
        </w:rPr>
        <w:t>one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largest</w:t>
      </w:r>
      <w:r>
        <w:rPr>
          <w:spacing w:val="-10"/>
          <w:sz w:val="22"/>
        </w:rPr>
        <w:t> </w:t>
      </w:r>
      <w:r>
        <w:rPr>
          <w:sz w:val="22"/>
        </w:rPr>
        <w:t>fleets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India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is</w:t>
      </w:r>
      <w:r>
        <w:rPr>
          <w:spacing w:val="-11"/>
          <w:sz w:val="22"/>
        </w:rPr>
        <w:t> </w:t>
      </w:r>
      <w:r>
        <w:rPr>
          <w:sz w:val="22"/>
        </w:rPr>
        <w:t>Uber’s</w:t>
      </w:r>
      <w:r>
        <w:rPr>
          <w:spacing w:val="-9"/>
          <w:sz w:val="22"/>
        </w:rPr>
        <w:t> </w:t>
      </w:r>
      <w:r>
        <w:rPr>
          <w:sz w:val="22"/>
        </w:rPr>
        <w:t>largest</w:t>
      </w:r>
      <w:r>
        <w:rPr>
          <w:spacing w:val="-10"/>
          <w:sz w:val="22"/>
        </w:rPr>
        <w:t> </w:t>
      </w:r>
      <w:r>
        <w:rPr>
          <w:sz w:val="22"/>
        </w:rPr>
        <w:t>professionally</w:t>
      </w:r>
      <w:r>
        <w:rPr>
          <w:spacing w:val="-48"/>
          <w:sz w:val="22"/>
        </w:rPr>
        <w:t> </w:t>
      </w:r>
      <w:r>
        <w:rPr>
          <w:sz w:val="22"/>
        </w:rPr>
        <w:t>managed fleet supplier in India. Everest owns a fleet of 10000+ Cars operating in 7 cities which include Mumbai,</w:t>
      </w:r>
      <w:r>
        <w:rPr>
          <w:spacing w:val="1"/>
          <w:sz w:val="22"/>
        </w:rPr>
        <w:t> </w:t>
      </w:r>
      <w:r>
        <w:rPr>
          <w:sz w:val="22"/>
        </w:rPr>
        <w:t>Delhi,</w:t>
      </w:r>
      <w:r>
        <w:rPr>
          <w:spacing w:val="-9"/>
          <w:sz w:val="22"/>
        </w:rPr>
        <w:t> </w:t>
      </w:r>
      <w:r>
        <w:rPr>
          <w:sz w:val="22"/>
        </w:rPr>
        <w:t>Hyderabad,</w:t>
      </w:r>
      <w:r>
        <w:rPr>
          <w:spacing w:val="-11"/>
          <w:sz w:val="22"/>
        </w:rPr>
        <w:t> </w:t>
      </w:r>
      <w:r>
        <w:rPr>
          <w:sz w:val="22"/>
        </w:rPr>
        <w:t>Pune,</w:t>
      </w:r>
      <w:r>
        <w:rPr>
          <w:spacing w:val="-7"/>
          <w:sz w:val="22"/>
        </w:rPr>
        <w:t> </w:t>
      </w:r>
      <w:r>
        <w:rPr>
          <w:sz w:val="22"/>
        </w:rPr>
        <w:t>Chennai,</w:t>
      </w:r>
      <w:r>
        <w:rPr>
          <w:spacing w:val="-10"/>
          <w:sz w:val="22"/>
        </w:rPr>
        <w:t> </w:t>
      </w:r>
      <w:r>
        <w:rPr>
          <w:sz w:val="22"/>
        </w:rPr>
        <w:t>Kolkata,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Bangalore.</w:t>
      </w:r>
      <w:r>
        <w:rPr>
          <w:spacing w:val="-8"/>
          <w:sz w:val="22"/>
        </w:rPr>
        <w:t> </w:t>
      </w:r>
      <w:r>
        <w:rPr>
          <w:sz w:val="22"/>
        </w:rPr>
        <w:t>These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100%</w:t>
      </w:r>
      <w:r>
        <w:rPr>
          <w:spacing w:val="-8"/>
          <w:sz w:val="22"/>
        </w:rPr>
        <w:t> </w:t>
      </w:r>
      <w:r>
        <w:rPr>
          <w:sz w:val="22"/>
        </w:rPr>
        <w:t>clean</w:t>
      </w:r>
      <w:r>
        <w:rPr>
          <w:spacing w:val="-8"/>
          <w:sz w:val="22"/>
        </w:rPr>
        <w:t> </w:t>
      </w:r>
      <w:r>
        <w:rPr>
          <w:sz w:val="22"/>
        </w:rPr>
        <w:t>green</w:t>
      </w:r>
      <w:r>
        <w:rPr>
          <w:spacing w:val="-10"/>
          <w:sz w:val="22"/>
        </w:rPr>
        <w:t> </w:t>
      </w:r>
      <w:r>
        <w:rPr>
          <w:sz w:val="22"/>
        </w:rPr>
        <w:t>fuel</w:t>
      </w:r>
      <w:r>
        <w:rPr>
          <w:spacing w:val="-10"/>
          <w:sz w:val="22"/>
        </w:rPr>
        <w:t> </w:t>
      </w:r>
      <w:r>
        <w:rPr>
          <w:sz w:val="22"/>
        </w:rPr>
        <w:t>cars</w:t>
      </w:r>
      <w:r>
        <w:rPr>
          <w:spacing w:val="-9"/>
          <w:sz w:val="22"/>
        </w:rPr>
        <w:t> </w:t>
      </w:r>
      <w:r>
        <w:rPr>
          <w:sz w:val="22"/>
        </w:rPr>
        <w:t>(CNG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Electric)</w:t>
      </w:r>
      <w:r>
        <w:rPr>
          <w:spacing w:val="-47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running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ridesharing</w:t>
      </w:r>
      <w:r>
        <w:rPr>
          <w:spacing w:val="-2"/>
          <w:sz w:val="22"/>
        </w:rPr>
        <w:t> </w:t>
      </w:r>
      <w:r>
        <w:rPr>
          <w:sz w:val="22"/>
        </w:rPr>
        <w:t>platforms in India.</w:t>
      </w:r>
      <w:r>
        <w:rPr>
          <w:spacing w:val="-1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https://everestfleet.com/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56"/>
        <w:ind w:left="113" w:right="0" w:firstLine="0"/>
        <w:jc w:val="left"/>
        <w:rPr>
          <w:i/>
          <w:sz w:val="22"/>
        </w:rPr>
      </w:pPr>
      <w:r>
        <w:rPr>
          <w:b/>
          <w:i/>
          <w:color w:val="212121"/>
          <w:sz w:val="22"/>
        </w:rPr>
        <w:t>*Disclaimer*</w:t>
      </w:r>
      <w:r>
        <w:rPr>
          <w:i/>
          <w:color w:val="212121"/>
          <w:sz w:val="22"/>
        </w:rPr>
        <w:t>:</w:t>
      </w:r>
    </w:p>
    <w:p>
      <w:pPr>
        <w:spacing w:line="360" w:lineRule="auto" w:before="135"/>
        <w:ind w:left="113" w:right="106" w:firstLine="0"/>
        <w:jc w:val="both"/>
        <w:rPr>
          <w:i/>
          <w:sz w:val="22"/>
        </w:rPr>
      </w:pPr>
      <w:r>
        <w:rPr>
          <w:i/>
          <w:color w:val="212121"/>
          <w:sz w:val="22"/>
        </w:rPr>
        <w:t>This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document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is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for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information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purposes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only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and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should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not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be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construed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as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an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offer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to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sell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or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a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recommendation. Any action taken by any person on the basis of the information contained herein shall be such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person’s sole responsibility. Neither AIASPL nor any of its affiliates, persons acting on its behalf shall be liable in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any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manner for any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consequences/losses/damages/expenses suffered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by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any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person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due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to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such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actions.</w:t>
      </w:r>
    </w:p>
    <w:p>
      <w:pPr>
        <w:pStyle w:val="BodyText"/>
        <w:rPr>
          <w:i/>
          <w:sz w:val="22"/>
        </w:rPr>
      </w:pPr>
    </w:p>
    <w:p>
      <w:pPr>
        <w:spacing w:before="137"/>
        <w:ind w:left="113" w:right="0" w:firstLine="0"/>
        <w:jc w:val="left"/>
        <w:rPr>
          <w:b/>
          <w:sz w:val="22"/>
        </w:rPr>
      </w:pPr>
      <w:r>
        <w:rPr>
          <w:b/>
          <w:color w:val="212121"/>
          <w:sz w:val="22"/>
        </w:rPr>
        <w:t>For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any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further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details,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contact:</w:t>
      </w:r>
    </w:p>
    <w:p>
      <w:pPr>
        <w:spacing w:line="360" w:lineRule="auto" w:before="132"/>
        <w:ind w:left="113" w:right="5578" w:firstLine="0"/>
        <w:jc w:val="left"/>
        <w:rPr>
          <w:sz w:val="22"/>
        </w:rPr>
      </w:pPr>
      <w:r>
        <w:rPr>
          <w:color w:val="212121"/>
          <w:sz w:val="22"/>
        </w:rPr>
        <w:t>Megha Jamb, Manager-Corporate Communications</w:t>
      </w:r>
      <w:r>
        <w:rPr>
          <w:color w:val="212121"/>
          <w:spacing w:val="-47"/>
          <w:sz w:val="22"/>
        </w:rPr>
        <w:t> </w:t>
      </w:r>
      <w:hyperlink r:id="rId7">
        <w:r>
          <w:rPr>
            <w:color w:val="212121"/>
            <w:sz w:val="22"/>
          </w:rPr>
          <w:t>megha.jamb@arkafincap.com</w:t>
        </w:r>
      </w:hyperlink>
    </w:p>
    <w:sectPr>
      <w:pgSz w:w="11910" w:h="16840"/>
      <w:pgMar w:header="471" w:footer="0" w:top="1640" w:bottom="28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6517435</wp:posOffset>
          </wp:positionH>
          <wp:positionV relativeFrom="page">
            <wp:posOffset>298965</wp:posOffset>
          </wp:positionV>
          <wp:extent cx="624372" cy="4099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372" cy="40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1301" w:right="1303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everestfleet.com/" TargetMode="External"/><Relationship Id="rId7" Type="http://schemas.openxmlformats.org/officeDocument/2006/relationships/hyperlink" Target="mailto:megha.jamb@arkafincap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2024-07-26T13:03:28Z</dcterms:created>
  <dcterms:modified xsi:type="dcterms:W3CDTF">2024-07-26T13:03:28Z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2024-07-26T00:00:00Z</vt:filetime>
  </property>
</Properties>
</file>